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Toc17781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4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评判标准</w:t>
      </w:r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评分办法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本次比选依据比选申请人递交的比选申请书，按照评判标准表中的要求进行逐次排序。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评分标准</w:t>
      </w:r>
    </w:p>
    <w:tbl>
      <w:tblPr>
        <w:tblStyle w:val="6"/>
        <w:tblW w:w="4873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1"/>
        <w:gridCol w:w="999"/>
        <w:gridCol w:w="947"/>
        <w:gridCol w:w="5235"/>
        <w:gridCol w:w="111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bidi="ar"/>
              </w:rPr>
              <w:t>评分因素及权重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bidi="ar"/>
              </w:rPr>
              <w:t>分值</w:t>
            </w:r>
          </w:p>
        </w:tc>
        <w:tc>
          <w:tcPr>
            <w:tcW w:w="5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bidi="ar"/>
              </w:rPr>
              <w:t>评分标准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bidi="ar"/>
              </w:rPr>
              <w:t>说明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%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分</w:t>
            </w:r>
          </w:p>
        </w:tc>
        <w:tc>
          <w:tcPr>
            <w:tcW w:w="5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以本次有效的最低评标价为基准价，投标报价得分=(基准价／经评审的投标报价)×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_GB2312" w:hAnsi="宋体" w:eastAsia="仿宋_GB2312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bidi="ar"/>
              </w:rPr>
              <w:t>业绩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bidi="ar"/>
              </w:rPr>
              <w:t>%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bidi="ar"/>
              </w:rPr>
              <w:t>分</w:t>
            </w:r>
          </w:p>
        </w:tc>
        <w:tc>
          <w:tcPr>
            <w:tcW w:w="5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outlineLvl w:val="9"/>
              <w:rPr>
                <w:rFonts w:hint="default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"/>
              </w:rPr>
              <w:t>以2015年（含）以来类似业绩进行评比：提供1个得5分，最多得20分得。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"/>
              </w:rPr>
              <w:t>提供相关合同或者成交通知书证明材料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_GB2312" w:hAnsi="宋体" w:eastAsia="仿宋_GB2312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bidi="ar"/>
              </w:rPr>
              <w:t>人员资质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bidi="ar"/>
              </w:rPr>
              <w:t>%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bidi="ar"/>
              </w:rPr>
              <w:t>分</w:t>
            </w:r>
          </w:p>
        </w:tc>
        <w:tc>
          <w:tcPr>
            <w:tcW w:w="5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outlineLvl w:val="9"/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  <w:lang w:eastAsia="zh-CN"/>
              </w:rPr>
              <w:t>参加人员中有中级技术职称证书</w:t>
            </w: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  <w:lang w:val="en-US" w:eastAsia="zh-CN"/>
              </w:rPr>
              <w:t>的</w:t>
            </w: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  <w:lang w:eastAsia="zh-CN"/>
              </w:rPr>
              <w:t>一个得</w:t>
            </w: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  <w:lang w:val="en-US" w:eastAsia="zh-CN"/>
              </w:rPr>
              <w:t>5分，</w:t>
            </w: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  <w:t>最多得</w:t>
            </w: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  <w:t>分。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"/>
              </w:rPr>
              <w:t>提供相关证明材料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  <w:jc w:val="center"/>
        </w:trPr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_GB2312" w:hAnsi="宋体" w:eastAsia="仿宋_GB2312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"/>
              </w:rPr>
              <w:t>信誉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bidi="ar"/>
              </w:rPr>
              <w:t>%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"/>
              </w:rPr>
              <w:t>5分</w:t>
            </w:r>
          </w:p>
        </w:tc>
        <w:tc>
          <w:tcPr>
            <w:tcW w:w="5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center"/>
              <w:outlineLvl w:val="9"/>
              <w:rPr>
                <w:rFonts w:hint="default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机构获得奖项：党委、政府或行政部门评选的奖项的，提供一个得2.5分，其他的不得分，最多得5分。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"/>
              </w:rPr>
              <w:t>提供相关证明材料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default" w:ascii="仿宋_GB2312" w:hAnsi="宋体" w:eastAsia="仿宋_GB2312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服务方案25%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25分</w:t>
            </w:r>
          </w:p>
        </w:tc>
        <w:tc>
          <w:tcPr>
            <w:tcW w:w="5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center"/>
              <w:outlineLvl w:val="9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根据提供的服务方案进行综合评分：优得25分，良得20分，一般的15分。未提供不得分。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40" w:firstLineChars="200"/>
              <w:jc w:val="center"/>
              <w:textAlignment w:val="center"/>
              <w:outlineLvl w:val="9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outlineLvl w:val="9"/>
        <w:rPr>
          <w:rFonts w:hint="eastAsia" w:ascii="仿宋_GB2312" w:eastAsia="仿宋_GB2312"/>
          <w:sz w:val="28"/>
          <w:szCs w:val="28"/>
        </w:rPr>
      </w:pPr>
    </w:p>
    <w:p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tabs>
        <w:tab w:val="center" w:pos="4153"/>
        <w:tab w:val="right" w:pos="8306"/>
      </w:tabs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20</w:t>
    </w:r>
    <w:r>
      <w:fldChar w:fldCharType="end"/>
    </w:r>
  </w:p>
  <w:p>
    <w:pPr>
      <w:pStyle w:val="4"/>
      <w:tabs>
        <w:tab w:val="center" w:pos="4153"/>
        <w:tab w:val="right" w:pos="8306"/>
      </w:tabs>
      <w:jc w:val="right"/>
    </w:pPr>
  </w:p>
  <w:p>
    <w:pPr>
      <w:pStyle w:val="4"/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tabs>
        <w:tab w:val="center" w:pos="4153"/>
        <w:tab w:val="right" w:pos="8306"/>
      </w:tabs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tabs>
        <w:tab w:val="center" w:pos="4153"/>
        <w:tab w:val="right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01F4"/>
    <w:rsid w:val="5BD3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2"/>
      <w:lang w:val="en-US" w:eastAsia="zh-CN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2020-12-09T03:49:00Z</dcterms:created>
  <dc:creator>华不再扬</dc:creator>
  <cp:lastModifiedBy>华不再扬</cp:lastModifiedBy>
  <dcterms:modified xsi:type="dcterms:W3CDTF">2020-12-09T03:49:50Z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