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比选申请人须知</w:t>
      </w:r>
    </w:p>
    <w:tbl>
      <w:tblPr>
        <w:tblStyle w:val="4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560"/>
        <w:gridCol w:w="6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内容</w:t>
            </w:r>
          </w:p>
        </w:tc>
        <w:tc>
          <w:tcPr>
            <w:tcW w:w="6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比选人</w:t>
            </w:r>
          </w:p>
        </w:tc>
        <w:tc>
          <w:tcPr>
            <w:tcW w:w="6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遂宁市退役军人事务局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遂宁市退役军人事务工作“十四五”规划编制单位比选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比选申请人资格要求</w:t>
            </w:r>
          </w:p>
        </w:tc>
        <w:tc>
          <w:tcPr>
            <w:tcW w:w="6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 具有独立法人资格的合法企业（须提供有效的营业执照副本）；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 具有本项目类似业绩（行政类）1个及以上；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 具有良好的保密意识，无泄密、失密事件发生；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 在经营活动中没有重大违法记录；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 本项目不接受联合体参与。。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6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（一）编写的规划要具有工作指导意义，不能夸夸其谈，浮于纸面。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（二）编写的规划要符合遂宁市退役军人事务工作的发展实际，既要有理论的高度，也要有在“十四五”期间能完成的项目支撑。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（三）编写的规划要符合省退役军人事务厅、市发展改革委、市退役军人事务局的编制要求，达到全省退役军人事务系统的先进水平。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比选申请书份数</w:t>
            </w:r>
          </w:p>
        </w:tc>
        <w:tc>
          <w:tcPr>
            <w:tcW w:w="6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正本一份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、副本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（在封面上应分别标明）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评审方法</w:t>
            </w:r>
          </w:p>
        </w:tc>
        <w:tc>
          <w:tcPr>
            <w:tcW w:w="63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综合评分法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jc w:val="both"/>
        <w:textAlignment w:val="auto"/>
        <w:outlineLvl w:val="9"/>
        <w:rPr>
          <w:rFonts w:hint="eastAsia" w:ascii="宋体" w:hAnsi="宋体"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textAlignment w:val="auto"/>
        <w:outlineLvl w:val="9"/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2799D"/>
    <w:rsid w:val="3CC36F36"/>
    <w:rsid w:val="7622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pPr>
      <w:widowControl w:val="0"/>
      <w:spacing w:after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2020-12-09T03:45:00Z</dcterms:created>
  <dc:creator>华不再扬</dc:creator>
  <cp:lastModifiedBy>华不再扬</cp:lastModifiedBy>
  <dcterms:modified xsi:type="dcterms:W3CDTF">2020-12-09T04:08:16Z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